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88" w:rsidRDefault="003931CA" w:rsidP="00E76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Ежегодный</w:t>
      </w:r>
      <w:r w:rsidR="00BE4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отчет</w:t>
      </w:r>
      <w:bookmarkStart w:id="0" w:name="_GoBack"/>
      <w:bookmarkEnd w:id="0"/>
      <w:r w:rsidR="00BE4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деятельности </w:t>
      </w:r>
      <w:proofErr w:type="spellStart"/>
      <w:r w:rsidR="00BE4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Аксуского</w:t>
      </w:r>
      <w:proofErr w:type="spellEnd"/>
      <w:r w:rsidR="00BE4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завода ферросплавов по регулируемым услугам за 2015 год </w:t>
      </w:r>
    </w:p>
    <w:p w:rsidR="00BE4688" w:rsidRDefault="00BE4688" w:rsidP="00E76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4688" w:rsidRPr="00BE4688" w:rsidRDefault="00BE4688" w:rsidP="00E76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EF3" w:rsidRPr="00E76986" w:rsidRDefault="00833EF3" w:rsidP="00E76986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Вступление</w:t>
      </w:r>
    </w:p>
    <w:p w:rsidR="00530C7E" w:rsidRPr="00D97BDB" w:rsidRDefault="007C4653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Во исполнени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Республики Казахстан «О естественных монополиях и регулируемых рынках» </w:t>
      </w:r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E4688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Правил проведения ежегодного отчета о деятельности субъекта естественной монополии по предоставлению  регулируемых услуг (товаров, работ) перед потребителями и</w:t>
      </w:r>
      <w:r w:rsidR="003D2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иными заинтересованными лицами</w:t>
      </w:r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Аксуский</w:t>
      </w:r>
      <w:proofErr w:type="spellEnd"/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ферросплавов филиал АО «ТНК «Казхром»</w:t>
      </w:r>
      <w:r w:rsidR="004C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входящего в Евразийскую Группу </w:t>
      </w:r>
      <w:r w:rsidR="004C1AC7" w:rsidRPr="004C1AC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C1A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ERG</w:t>
      </w:r>
      <w:r w:rsidR="004C1AC7" w:rsidRPr="004C1A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отчет о деятельности субъекта естественной монополии по предоставлению регулируемых услуг  перед потребителями и иными</w:t>
      </w:r>
      <w:proofErr w:type="gramEnd"/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заинтересованными лицами.</w:t>
      </w:r>
    </w:p>
    <w:p w:rsidR="00552001" w:rsidRPr="00D97BDB" w:rsidRDefault="00552001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Аксуский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ферросплавов  основан в 1968 году и является одним из крупнейших производителей ферросплавов в странах СНГ и в мире. Уникальность предприятия заключается в совмещении крупномасштабн</w:t>
      </w:r>
      <w:r w:rsidR="00C1234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производства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хромистых, кремнистых и марганцевых сплавов, необходимых для выпуска сталей различных марок. Приоритетные направления менеджмента предприятия основываются на двух основных задачах: использование передовых технологий и сохранение окружающей среды путем технического перевооружения производства на основе ресурсосберегающих и малоотходных технологий. </w:t>
      </w:r>
    </w:p>
    <w:p w:rsidR="00552001" w:rsidRPr="00D97BDB" w:rsidRDefault="00552001" w:rsidP="00E769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сложившейся инфраструктуры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Аксуский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ферросплавов является градообразующим предприятием и осуществляет 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регулируемые услуги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30C7E" w:rsidRPr="00D97BDB" w:rsidRDefault="00530C7E" w:rsidP="00E7698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услуги по производству и снабжению тепловой энергией;</w:t>
      </w:r>
    </w:p>
    <w:p w:rsidR="00552001" w:rsidRPr="00D97BDB" w:rsidRDefault="00552001" w:rsidP="00E7698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услуги водохозяйственной системы.</w:t>
      </w:r>
    </w:p>
    <w:p w:rsidR="008320B8" w:rsidRPr="00D97BDB" w:rsidRDefault="008320B8" w:rsidP="007C16D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336E" w:rsidRPr="00D97BDB" w:rsidRDefault="00B55E10" w:rsidP="00833EF3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44336E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слуги по производству и снабжению тепловой энергией</w:t>
      </w:r>
    </w:p>
    <w:p w:rsidR="0081278E" w:rsidRPr="00D97BDB" w:rsidRDefault="00E47A23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по производству тепловой энергии оказывает </w:t>
      </w:r>
      <w:r w:rsidR="008320B8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районная отопительная котельная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20B8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(РОК-2)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 входит в состав теплосилового цеха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Аксуского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завода ферросплавов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1AC7" w:rsidRPr="004C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епловая мощность РОК-2 составляет 310</w:t>
      </w:r>
      <w:r w:rsidR="00C1234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Гкал/час.</w:t>
      </w:r>
      <w:r w:rsidR="00C1234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Отпуск тепловой энергии для города Аксу производиться до границы  балансовой принадлежности с </w:t>
      </w:r>
      <w:r w:rsidR="002576C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КГП</w:t>
      </w:r>
      <w:r w:rsidR="00E730C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78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1278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Тепло</w:t>
      </w:r>
      <w:r w:rsidR="002576C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сервис</w:t>
      </w:r>
      <w:proofErr w:type="spellEnd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730C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</w:t>
      </w:r>
      <w:r w:rsidR="0081278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для учета поданной </w:t>
      </w:r>
      <w:proofErr w:type="spellStart"/>
      <w:r w:rsidR="0081278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теплоэнергии</w:t>
      </w:r>
      <w:proofErr w:type="spellEnd"/>
      <w:r w:rsidR="0081278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 прибор учета марки СПТ-961 который находиться на балансе </w:t>
      </w:r>
      <w:r w:rsidR="00E730C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КГП «</w:t>
      </w:r>
      <w:proofErr w:type="spellStart"/>
      <w:r w:rsidR="00E730C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Теплосерви</w:t>
      </w:r>
      <w:proofErr w:type="gramStart"/>
      <w:r w:rsidR="00E730C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E730C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Аксу»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6282" w:rsidRPr="00D97BDB" w:rsidRDefault="0081278E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Фактический объем произведенной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теплоэнергии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2015 год составил 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514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628,53 Гкал, в том числе отпуск на г. Аксу -273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343,55Гкал, возмещаемые потери -  62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952 Гкал, собственные нужды АЗФ  - 178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332,98 Гкал. </w:t>
      </w:r>
    </w:p>
    <w:p w:rsidR="007C16D0" w:rsidRPr="00D97BDB" w:rsidRDefault="007C16D0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Транспортировку тепловой энергии осуществляет 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КГП «</w:t>
      </w:r>
      <w:proofErr w:type="spellStart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Теплосерви</w:t>
      </w:r>
      <w:proofErr w:type="gramStart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Аксу».</w:t>
      </w:r>
    </w:p>
    <w:p w:rsidR="007C16D0" w:rsidRPr="00D97BDB" w:rsidRDefault="007C16D0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по снабжению тепловой энергией 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оказывает БРПТ – структурное подразделение АЗФ. Реализация  сторонним потребителям за 2015 г. составляет  </w:t>
      </w:r>
      <w:r w:rsidR="00B54E63" w:rsidRPr="00B54E63">
        <w:rPr>
          <w:rFonts w:ascii="Times New Roman" w:hAnsi="Times New Roman" w:cs="Times New Roman"/>
          <w:color w:val="000000" w:themeColor="text1"/>
          <w:sz w:val="24"/>
          <w:szCs w:val="24"/>
        </w:rPr>
        <w:t>273343.55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Гкал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числе:  частные лица – 212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957,33 Гкал.</w:t>
      </w:r>
      <w:proofErr w:type="gramStart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юридические лица 60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386,22 </w:t>
      </w:r>
      <w:r w:rsidR="00B55E1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кал.</w:t>
      </w:r>
    </w:p>
    <w:p w:rsidR="00B55E10" w:rsidRPr="00D97BDB" w:rsidRDefault="00B55E10" w:rsidP="00B55E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E10" w:rsidRPr="00D97BDB" w:rsidRDefault="00B55E10" w:rsidP="00E76986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 водохозяйственной системы</w:t>
      </w:r>
    </w:p>
    <w:p w:rsidR="0044336E" w:rsidRPr="00D97BDB" w:rsidRDefault="000F68AE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омплекс по подготовке и подаче пожарно-питьевой воды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входящий в состав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энергоцеха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 w:rsidDel="000F6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</w:t>
      </w:r>
      <w:r w:rsidR="0029793C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E1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услуги водоснабжения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55E1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подача пожарно-питьевой воды по распределительным сетям</w:t>
      </w:r>
      <w:proofErr w:type="gramStart"/>
      <w:r w:rsidR="00B55E1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Мощность станции составляет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190 тыс.м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год, фактическая производительность за 2015 год составила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616,06 </w:t>
      </w:r>
      <w:r w:rsidR="00B55E1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тыс.м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реализация услуг на сторону 110,4 тыс.м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80E" w:rsidRPr="00D97BDB" w:rsidRDefault="000F68AE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часток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свеж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3E0E3B" w:rsidRPr="003E0E3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речной воды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входящий в состав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энергоцеха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оказывает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услуги водоснабжени</w:t>
      </w:r>
      <w:proofErr w:type="gramStart"/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подача технической воды по распределительным сетям  . Мощность участка подтвержденная разрешением на водопользование составляет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666,872 тыс.м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год, фактическая производительность за 2015 г. составила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023,25 тыс.м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том числе реализация услуг на сторону 66,68 тыс.м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EF3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EF3" w:rsidRPr="00D97BDB" w:rsidRDefault="007E7644" w:rsidP="007E764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0F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F68AE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сполнение 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инвестиционных программ и (или) инвестиционных проектов, в том числе утвержденных ведомством уполномоченного органа</w:t>
      </w:r>
    </w:p>
    <w:p w:rsidR="007E7644" w:rsidRPr="00D97BDB" w:rsidRDefault="007E7644" w:rsidP="007E764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8AE" w:rsidRDefault="000F68AE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5369FB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</w:t>
      </w: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по </w:t>
      </w:r>
      <w:r w:rsidR="005369FB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производств</w:t>
      </w: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5369FB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тепловой энергии</w:t>
      </w:r>
      <w:r w:rsidR="005369FB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347A" w:rsidRPr="00354286" w:rsidRDefault="000F68AE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нвестиционная программа в сумме 110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600,0 тыс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на двенадцатимесячный период с 01.07.2014 г.  до 30.06.2015 г.  утверждена </w:t>
      </w:r>
      <w:r w:rsidR="005369FB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совместным Приказом ДАРЕМ по Актюбинской области №215-ОД от 24.10.2013  и </w:t>
      </w:r>
      <w:r w:rsidR="00833E4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369FB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инистерством регионального развития РК №320-ОД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9FB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20.11.2013 г. </w:t>
      </w:r>
      <w:r w:rsidR="00DB5715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за период</w:t>
      </w:r>
      <w:r w:rsidR="00833E4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833E4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01.07.2014. по 31.12.2014 год </w:t>
      </w:r>
      <w:r w:rsidR="00DB5715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составило </w:t>
      </w:r>
      <w:r w:rsidR="00833E4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E4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761,68 тыс. тенге или 65,8 %, за период 01.01</w:t>
      </w:r>
      <w:r w:rsidR="00833E41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.2015 года по 31.06.2015 года составило 34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E41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362,78 тысяч тенге или 31,1 %, за весь период реализации  выполнение составило 107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E41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124,46 тысяч тенге или 96,9%, снижение произошло за счет </w:t>
      </w:r>
      <w:r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снижени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E41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 на услуги сторонних организаций. </w:t>
      </w:r>
      <w:r w:rsidR="00265D3A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Фактические инвестиции на услугу</w:t>
      </w:r>
      <w:r w:rsidR="00F96245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96245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96245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тепловой энергии за 2015 год составили 132 883,69 тыс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6245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тенге. </w:t>
      </w:r>
      <w:r w:rsidR="00265D3A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68AE" w:rsidRDefault="000F68AE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FA24B8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</w:t>
      </w: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FA24B8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водоснабжения - </w:t>
      </w:r>
      <w:r w:rsidR="00FA24B8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подача пожарно-питьевой воды по распределительным сетям</w:t>
      </w:r>
      <w:r w:rsidR="00FA24B8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A24B8" w:rsidRPr="00296797" w:rsidRDefault="000F68AE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A24B8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нвестиционная программа утвержден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A24B8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совместным приказом Департамента Агентства РК по регулированию естественных монополий по Актюбинской области № 196-ОД от 04.10.2013 года и Министерством  регионального развития РК № 332/ОД от 20.11.2013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A24B8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 реализации с 01.08.2014 года до 31.07.2015 года </w:t>
      </w:r>
      <w:r w:rsidR="00F00FDC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в сумме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DC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223,42  тысяч тенге</w:t>
      </w:r>
      <w:r w:rsidR="0028347A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. Программа выполнена</w:t>
      </w:r>
      <w:r w:rsidR="00283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в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  <w:r w:rsidR="00A16B0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28347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83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бъем инвестиций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составил 22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850,79 тысяч тенге или 150%. 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нвестиционн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а в 2015 году не утверждалась.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296797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актические инвестиции</w:t>
      </w:r>
      <w:r w:rsidR="004C1AC7" w:rsidRPr="004C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2015 год 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296797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96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97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подача пожарно-питьевой воды по распределительным сетям  составили</w:t>
      </w:r>
      <w:r w:rsidR="00296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052,67 тысяч тенге.</w:t>
      </w:r>
    </w:p>
    <w:p w:rsidR="0028347A" w:rsidRPr="0028347A" w:rsidRDefault="0028347A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241" w:rsidRDefault="007F7241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F00FDC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</w:t>
      </w: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F00FDC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водоснабжения - </w:t>
      </w:r>
      <w:r w:rsidR="00F00FDC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подача технической  воды по распределительным сетям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16B04" w:rsidRPr="00D97BDB" w:rsidRDefault="007F7241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нвестиционная программа утвержден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совместным приказом  Департамента Агентства РК по регулированию естественных монополий по Актюбинской области № 197-ОД от 04.10.2013 года и Министерства регионального развития РК № 333/ОД от 20.11.2013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период  реализации</w:t>
      </w:r>
      <w:r w:rsidR="00297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93C">
        <w:rPr>
          <w:rFonts w:ascii="Times New Roman" w:hAnsi="Times New Roman" w:cs="Times New Roman"/>
          <w:color w:val="000000" w:themeColor="text1"/>
          <w:sz w:val="24"/>
          <w:szCs w:val="24"/>
        </w:rPr>
        <w:t>инвестпрограммы</w:t>
      </w:r>
      <w:proofErr w:type="spellEnd"/>
      <w:r w:rsidR="00297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года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сумме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965,2  тыс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93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енге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B0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Инвестиционная программа была выполнена. Ф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актические инвестиции</w:t>
      </w:r>
      <w:r w:rsidR="00A16B0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984">
        <w:rPr>
          <w:rFonts w:ascii="Times New Roman" w:hAnsi="Times New Roman" w:cs="Times New Roman"/>
          <w:color w:val="000000" w:themeColor="text1"/>
          <w:sz w:val="24"/>
          <w:szCs w:val="24"/>
        </w:rPr>
        <w:t>в услугу</w:t>
      </w:r>
      <w:r w:rsidR="00DC1984" w:rsidRPr="00DC1984">
        <w:t xml:space="preserve"> </w:t>
      </w:r>
      <w:r w:rsidR="00DC1984" w:rsidRPr="00DC1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подача технической  воды по распределительным сетям  </w:t>
      </w:r>
      <w:r w:rsidR="00A16B0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за 2015 год составили 71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B0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147,63 тысяч тенге.</w:t>
      </w:r>
      <w:r w:rsidR="00297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Сумма инвестиций направлена на проведение капитального ремонта водовода от станции первого подъема до АЗФ диаметром 500 мм.</w:t>
      </w:r>
    </w:p>
    <w:p w:rsidR="00296797" w:rsidRDefault="00296797" w:rsidP="007E7644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FDC" w:rsidRPr="00D97BDB" w:rsidRDefault="00F00FDC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644" w:rsidRPr="00D97BDB" w:rsidRDefault="007E764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F7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F7241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сновные 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финансово-экономические показатели деятельности субъекта естественной монополии за отчетный период</w:t>
      </w:r>
    </w:p>
    <w:p w:rsidR="00D40C30" w:rsidRPr="00D97BDB" w:rsidRDefault="00D40C30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241" w:rsidRDefault="007F7241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по производству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снабжению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тепловой энергии.</w:t>
      </w:r>
    </w:p>
    <w:p w:rsidR="00547BF0" w:rsidRDefault="00C67642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услугу по производству тепловой энергии </w:t>
      </w:r>
      <w:r w:rsidR="00547BF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в размере 1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BF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055,23 тенге за Гкал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тарифная смета 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в сумме 653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894,38 тыс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утверждены 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F724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96-ОД от 20.05.2014 года </w:t>
      </w:r>
      <w:r w:rsidR="009077E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АРЕМ по Актюбинской области с вводом в</w:t>
      </w:r>
      <w:r w:rsidR="00907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действие с 01 июля 2014 года.  </w:t>
      </w:r>
    </w:p>
    <w:p w:rsidR="00C67642" w:rsidRPr="00D97BDB" w:rsidRDefault="00247100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производственно-хозяйственной деятельности получен доход 543 051,46 тыс. тенге, в том числе от сторонних потребителей 288 440,31 тыс. тенге. </w:t>
      </w:r>
      <w:r w:rsidR="009077E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актическ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затраты 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2015 год 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по данной услуг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составил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и 1 645 087,24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на товарную продукцию 873 783,64 тыс. тенге. С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ебестоимость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196,65 тенге за Гкал. </w:t>
      </w:r>
      <w:r w:rsidR="009077E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бытки от реализации товарной продукции составили 585 343,33 тыс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7642" w:rsidRPr="00D97BDB" w:rsidRDefault="00C67642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услугу по снабжению тепловой энергией </w:t>
      </w:r>
      <w:r w:rsidR="00547BF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33,72 тенге за Гкал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тарифная смета 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в сумме затрат 9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170,25</w:t>
      </w:r>
      <w:r w:rsidR="0002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утверждены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4710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62-ОД от 20.03.2012 года </w:t>
      </w:r>
      <w:r w:rsidR="009077E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АРЕМ по Актюбинской области с вводом в действие с 01 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мая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производственно-хозяйственной деятельности получен доход 9 217,14 тыс. тенге. </w:t>
      </w:r>
      <w:r w:rsidR="00C6042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актическ</w:t>
      </w:r>
      <w:r w:rsidR="0002119A">
        <w:rPr>
          <w:rFonts w:ascii="Times New Roman" w:hAnsi="Times New Roman" w:cs="Times New Roman"/>
          <w:color w:val="000000" w:themeColor="text1"/>
          <w:sz w:val="24"/>
          <w:szCs w:val="24"/>
        </w:rPr>
        <w:t>ие затраты составили 22 223,92 тыс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тенге, фактическая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себестоимость</w:t>
      </w:r>
      <w:r w:rsidR="0002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услуги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снабжения тепловой энергией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2015 год составила 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81,30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за Гкал. </w:t>
      </w:r>
      <w:r w:rsidR="00C6042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бытки от реализации товарной продукции составили 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13 006 ,77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тысяч тенге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7100" w:rsidRDefault="00247100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Услуги водохозяйственной системы</w:t>
      </w:r>
    </w:p>
    <w:p w:rsidR="00247100" w:rsidRDefault="00D40C30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24710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подач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4710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пожарно-питьевой воды по распределительным сетям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8C26CB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45,90 тенге за метр кубический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и тарифная смета</w:t>
      </w:r>
      <w:r w:rsidR="008C2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затрат 62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6CB">
        <w:rPr>
          <w:rFonts w:ascii="Times New Roman" w:hAnsi="Times New Roman" w:cs="Times New Roman"/>
          <w:color w:val="000000" w:themeColor="text1"/>
          <w:sz w:val="24"/>
          <w:szCs w:val="24"/>
        </w:rPr>
        <w:t>423,06 тыс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2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утверждены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4710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122-ОД от 23.06.2014 года </w:t>
      </w:r>
      <w:r w:rsidR="009077E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АРЕМ по Актюбинской области  с вводом в действие с 01 августа 2014 года.</w:t>
      </w:r>
      <w:r w:rsidR="008C2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0C30" w:rsidRPr="00D97BDB" w:rsidRDefault="00247100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производственно-хозяйственной деятельности получен доход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74 177,06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тенге, в том числе от сторонних потребителей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5 067,26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тенге. Ф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актическ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затраты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2015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данной услуге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составил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162 306,17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тыс., в том числе на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сторону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11 087,26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тенге. Ф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актическая себестоимость 1 метра кубического пожарно-питьевой воды за 2015 год составила 100,43 тенге. Убытки от реализации товарной продукции составили 6 020,00  тыс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</w:t>
      </w:r>
    </w:p>
    <w:p w:rsidR="00592C54" w:rsidRDefault="00B26BDC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92C5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подач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92C5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технической воды по распределительным сетям </w:t>
      </w:r>
      <w:r w:rsidR="007B0348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6,74  тенге за метр кубический 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тарифная смета по услуге 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>в сумме 47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>943,95 тыс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утверждены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92C5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№ 12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-ОД от 2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19287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АРЕМ по Актюбинской области с вводом в действие с 01 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октября 2011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  <w:r w:rsidR="00C60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6BDC" w:rsidRPr="00D97BDB" w:rsidRDefault="00592C54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производственно-хозяйственной деятельности получен доход 47 322,83 тыс. тенге, в том числе от сторонних потребителей 449,29 тыс. тенге. </w:t>
      </w:r>
      <w:r w:rsidR="00C6042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B26B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актическ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>ие затраты за 2015 год составили 99 288,08 тыс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на сторону 942,86 тыс. тенге.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26B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ебестоимость 1 метра кубического 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технической </w:t>
      </w:r>
      <w:r w:rsidR="00B26B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 за 2015 год составила 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14,14</w:t>
      </w:r>
      <w:r w:rsidR="00B26B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тенге. Убытки от реализации товарной продукции составили 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493,56</w:t>
      </w:r>
      <w:r w:rsidR="00B26B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тысяч тенге</w:t>
      </w:r>
    </w:p>
    <w:p w:rsidR="000603E6" w:rsidRPr="00D97BDB" w:rsidRDefault="000603E6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убытки от предоставления регулируемых услуг (товаров, работ) за 2015 год по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Аксускому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заводу ферросплавов составили 604 863,66 тысяч тенге. </w:t>
      </w:r>
    </w:p>
    <w:p w:rsidR="000603E6" w:rsidRPr="00D97BDB" w:rsidRDefault="000603E6" w:rsidP="00B26BD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10E" w:rsidRPr="00D97BDB" w:rsidRDefault="0093610E" w:rsidP="0093610E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92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592C54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бъемы 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предоставленных регулируемых услуг (товаров, работ) за отчетный период.</w:t>
      </w:r>
    </w:p>
    <w:p w:rsidR="0093610E" w:rsidRPr="00D97BDB" w:rsidRDefault="0093610E" w:rsidP="0093610E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10E" w:rsidRPr="00D97BDB" w:rsidRDefault="0093610E" w:rsidP="00C6764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1701"/>
        <w:gridCol w:w="1984"/>
        <w:gridCol w:w="1418"/>
      </w:tblGrid>
      <w:tr w:rsidR="00D97BDB" w:rsidRPr="00D97BDB" w:rsidTr="00564246">
        <w:tc>
          <w:tcPr>
            <w:tcW w:w="1809" w:type="dxa"/>
            <w:vAlign w:val="center"/>
          </w:tcPr>
          <w:p w:rsidR="00BB30B7" w:rsidRPr="00D97BDB" w:rsidRDefault="00BB30B7" w:rsidP="005642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наименование СЕМ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5642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BB30B7" w:rsidRPr="00D97BDB" w:rsidRDefault="00BB30B7" w:rsidP="005642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5642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объем утвержденный уполномоченным органом</w:t>
            </w:r>
          </w:p>
        </w:tc>
        <w:tc>
          <w:tcPr>
            <w:tcW w:w="1984" w:type="dxa"/>
            <w:vAlign w:val="center"/>
          </w:tcPr>
          <w:p w:rsidR="00BB30B7" w:rsidRPr="00D97BDB" w:rsidRDefault="00BB30B7" w:rsidP="005642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фактический объем за 2015 год</w:t>
            </w:r>
          </w:p>
        </w:tc>
        <w:tc>
          <w:tcPr>
            <w:tcW w:w="1418" w:type="dxa"/>
            <w:vAlign w:val="center"/>
          </w:tcPr>
          <w:p w:rsidR="00BB30B7" w:rsidRPr="00D97BDB" w:rsidRDefault="00BB30B7" w:rsidP="005642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отклонения</w:t>
            </w:r>
          </w:p>
        </w:tc>
      </w:tr>
      <w:tr w:rsidR="00D97BDB" w:rsidRPr="00D97BDB" w:rsidTr="00564246">
        <w:tc>
          <w:tcPr>
            <w:tcW w:w="1809" w:type="dxa"/>
            <w:vMerge w:val="restart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производство тепловой энергии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объем производства всего в том числе</w:t>
            </w:r>
          </w:p>
        </w:tc>
        <w:tc>
          <w:tcPr>
            <w:tcW w:w="993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Гкал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619</w:t>
            </w:r>
            <w:r w:rsidR="00592C5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670,0</w:t>
            </w:r>
          </w:p>
        </w:tc>
        <w:tc>
          <w:tcPr>
            <w:tcW w:w="1984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514</w:t>
            </w:r>
            <w:r w:rsidR="00592C5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628,53</w:t>
            </w:r>
          </w:p>
        </w:tc>
        <w:tc>
          <w:tcPr>
            <w:tcW w:w="1418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-105041,48</w:t>
            </w:r>
          </w:p>
        </w:tc>
      </w:tr>
      <w:tr w:rsidR="00D97BDB" w:rsidRPr="00D97BDB" w:rsidTr="00564246">
        <w:tc>
          <w:tcPr>
            <w:tcW w:w="1809" w:type="dxa"/>
            <w:vMerge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оказываемых услуг</w:t>
            </w:r>
          </w:p>
        </w:tc>
        <w:tc>
          <w:tcPr>
            <w:tcW w:w="993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Гкал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  <w:r w:rsidR="0059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920,0</w:t>
            </w:r>
          </w:p>
        </w:tc>
        <w:tc>
          <w:tcPr>
            <w:tcW w:w="1984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  <w:r w:rsidR="0059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343,55</w:t>
            </w:r>
          </w:p>
        </w:tc>
        <w:tc>
          <w:tcPr>
            <w:tcW w:w="1418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1423,55</w:t>
            </w:r>
          </w:p>
        </w:tc>
      </w:tr>
      <w:tr w:rsidR="00D97BDB" w:rsidRPr="00D97BDB" w:rsidTr="00564246">
        <w:tc>
          <w:tcPr>
            <w:tcW w:w="1809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снабжение  тепловой энергией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оказываемых услуг</w:t>
            </w:r>
          </w:p>
        </w:tc>
        <w:tc>
          <w:tcPr>
            <w:tcW w:w="993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Гкал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271,92</w:t>
            </w:r>
          </w:p>
        </w:tc>
        <w:tc>
          <w:tcPr>
            <w:tcW w:w="1984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273,34</w:t>
            </w:r>
          </w:p>
        </w:tc>
        <w:tc>
          <w:tcPr>
            <w:tcW w:w="1418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D97BDB" w:rsidRPr="00D97BDB" w:rsidTr="00564246">
        <w:tc>
          <w:tcPr>
            <w:tcW w:w="1809" w:type="dxa"/>
            <w:vMerge w:val="restart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 подача пожарно-питьевой воды по распределительным сетям</w:t>
            </w:r>
          </w:p>
        </w:tc>
        <w:tc>
          <w:tcPr>
            <w:tcW w:w="1701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объем производства всего в том числе</w:t>
            </w:r>
          </w:p>
        </w:tc>
        <w:tc>
          <w:tcPr>
            <w:tcW w:w="993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9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359,84</w:t>
            </w:r>
          </w:p>
        </w:tc>
        <w:tc>
          <w:tcPr>
            <w:tcW w:w="1984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3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616,06</w:t>
            </w:r>
          </w:p>
        </w:tc>
        <w:tc>
          <w:tcPr>
            <w:tcW w:w="1418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256,22</w:t>
            </w:r>
          </w:p>
        </w:tc>
      </w:tr>
      <w:tr w:rsidR="00D97BDB" w:rsidRPr="00D97BDB" w:rsidTr="00564246">
        <w:tc>
          <w:tcPr>
            <w:tcW w:w="1809" w:type="dxa"/>
            <w:vMerge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потери</w:t>
            </w:r>
          </w:p>
        </w:tc>
        <w:tc>
          <w:tcPr>
            <w:tcW w:w="993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236,59</w:t>
            </w:r>
          </w:p>
        </w:tc>
        <w:tc>
          <w:tcPr>
            <w:tcW w:w="1984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230,58</w:t>
            </w:r>
          </w:p>
        </w:tc>
        <w:tc>
          <w:tcPr>
            <w:tcW w:w="1418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-6,01</w:t>
            </w:r>
          </w:p>
        </w:tc>
      </w:tr>
      <w:tr w:rsidR="00D97BDB" w:rsidRPr="00D97BDB" w:rsidTr="00564246">
        <w:tc>
          <w:tcPr>
            <w:tcW w:w="1809" w:type="dxa"/>
            <w:vMerge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оказываемых услуг</w:t>
            </w:r>
          </w:p>
        </w:tc>
        <w:tc>
          <w:tcPr>
            <w:tcW w:w="993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118,64</w:t>
            </w:r>
          </w:p>
        </w:tc>
        <w:tc>
          <w:tcPr>
            <w:tcW w:w="1984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110,4</w:t>
            </w:r>
          </w:p>
        </w:tc>
        <w:tc>
          <w:tcPr>
            <w:tcW w:w="1418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-8,24</w:t>
            </w:r>
          </w:p>
        </w:tc>
      </w:tr>
      <w:tr w:rsidR="00D97BDB" w:rsidRPr="00D97BDB" w:rsidTr="00564246">
        <w:tc>
          <w:tcPr>
            <w:tcW w:w="1809" w:type="dxa"/>
            <w:vMerge w:val="restart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водоснабжение подача технической  воды по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распределительным сетям   </w:t>
            </w:r>
          </w:p>
        </w:tc>
        <w:tc>
          <w:tcPr>
            <w:tcW w:w="1701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объем производства всего в том числе</w:t>
            </w:r>
          </w:p>
        </w:tc>
        <w:tc>
          <w:tcPr>
            <w:tcW w:w="993" w:type="dxa"/>
            <w:vAlign w:val="center"/>
          </w:tcPr>
          <w:p w:rsidR="005E124E" w:rsidRPr="00D97BDB" w:rsidRDefault="005E124E" w:rsidP="00A17E0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C3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115,43</w:t>
            </w:r>
          </w:p>
        </w:tc>
        <w:tc>
          <w:tcPr>
            <w:tcW w:w="1984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C3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023,25</w:t>
            </w:r>
          </w:p>
        </w:tc>
        <w:tc>
          <w:tcPr>
            <w:tcW w:w="1418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98,7</w:t>
            </w:r>
          </w:p>
        </w:tc>
      </w:tr>
      <w:tr w:rsidR="00D97BDB" w:rsidRPr="00D97BDB" w:rsidTr="00564246">
        <w:tc>
          <w:tcPr>
            <w:tcW w:w="1809" w:type="dxa"/>
            <w:vMerge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24E" w:rsidRPr="00D97BDB" w:rsidRDefault="005E124E" w:rsidP="005A41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нормативные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потери</w:t>
            </w:r>
          </w:p>
        </w:tc>
        <w:tc>
          <w:tcPr>
            <w:tcW w:w="993" w:type="dxa"/>
            <w:vAlign w:val="center"/>
          </w:tcPr>
          <w:p w:rsidR="005E124E" w:rsidRPr="00D97BDB" w:rsidRDefault="005E124E" w:rsidP="00A17E0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551,44</w:t>
            </w:r>
          </w:p>
        </w:tc>
        <w:tc>
          <w:tcPr>
            <w:tcW w:w="1984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477,62</w:t>
            </w:r>
          </w:p>
        </w:tc>
        <w:tc>
          <w:tcPr>
            <w:tcW w:w="1418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-73,82</w:t>
            </w:r>
          </w:p>
        </w:tc>
      </w:tr>
      <w:tr w:rsidR="005E124E" w:rsidRPr="00D97BDB" w:rsidTr="00564246">
        <w:tc>
          <w:tcPr>
            <w:tcW w:w="1809" w:type="dxa"/>
            <w:vMerge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24E" w:rsidRPr="00D97BDB" w:rsidRDefault="005E124E" w:rsidP="005A41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оказываемых услуг</w:t>
            </w:r>
          </w:p>
        </w:tc>
        <w:tc>
          <w:tcPr>
            <w:tcW w:w="993" w:type="dxa"/>
            <w:vAlign w:val="center"/>
          </w:tcPr>
          <w:p w:rsidR="005E124E" w:rsidRPr="00D97BDB" w:rsidRDefault="005E124E" w:rsidP="00A17E0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96,68</w:t>
            </w:r>
          </w:p>
        </w:tc>
        <w:tc>
          <w:tcPr>
            <w:tcW w:w="1984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66,68</w:t>
            </w:r>
          </w:p>
        </w:tc>
        <w:tc>
          <w:tcPr>
            <w:tcW w:w="1418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</w:p>
        </w:tc>
      </w:tr>
    </w:tbl>
    <w:p w:rsidR="00D40C30" w:rsidRPr="00D97BDB" w:rsidRDefault="00D40C30" w:rsidP="00C6764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642" w:rsidRPr="00D97BDB" w:rsidRDefault="005E124E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приведенной выше таблице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год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BF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сократил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C3BF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 </w:t>
      </w:r>
      <w:r w:rsidR="00AB61E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оказываемых услуг </w:t>
      </w:r>
      <w:proofErr w:type="gramStart"/>
      <w:r w:rsidR="00AB61E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AB61E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B61E2" w:rsidRPr="00D97BDB" w:rsidRDefault="00AB61E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пожарно-питьевой воде на 8,24 тысяч метров кубических 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в связи с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перезаключение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договоров с потребителями услуг (юридическими лицами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находящимися </w:t>
      </w:r>
      <w:r w:rsidR="00B2327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 промышленной площадке АЗФ)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196F9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установкой приборов учета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61E2" w:rsidRPr="00D97BDB" w:rsidRDefault="00AB61E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технической воде на 30 тысяч метров кубических снижение потребления</w:t>
      </w:r>
      <w:r w:rsidR="007E78E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договора</w:t>
      </w:r>
      <w:proofErr w:type="gramEnd"/>
      <w:r w:rsidR="007E78E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Садоводство</w:t>
      </w:r>
      <w:r w:rsidR="007E78E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3C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«Ягодка» - снижение количества садовых участков.</w:t>
      </w:r>
    </w:p>
    <w:p w:rsidR="00C67642" w:rsidRPr="00D97BDB" w:rsidRDefault="00C6764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642" w:rsidRPr="00D97BDB" w:rsidRDefault="00AE0FF3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произошло по производству и снабжение тепловой энергии на 1,42 тыс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Гкал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потребителей тепловой энергии г.</w:t>
      </w:r>
      <w:r w:rsidR="006A66B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Аксу.</w:t>
      </w:r>
    </w:p>
    <w:p w:rsidR="00C67642" w:rsidRPr="00D97BDB" w:rsidRDefault="00C6764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642" w:rsidRPr="00D97BDB" w:rsidRDefault="00C6764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BAA" w:rsidRPr="00D97BDB" w:rsidRDefault="006A66B4" w:rsidP="00D32BA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3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CC3BFC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проводимой работе с потребителями регулируемых услуг (товаров, работ)</w:t>
      </w:r>
    </w:p>
    <w:p w:rsidR="00D32BAA" w:rsidRPr="00D97BDB" w:rsidRDefault="00D32BAA" w:rsidP="00D32BA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BAA" w:rsidRPr="00D97BDB" w:rsidRDefault="00D32BAA" w:rsidP="00D32BA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«ТНК «Казхром», </w:t>
      </w:r>
      <w:proofErr w:type="gram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существующего законодательства придерживается открытого характера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тарифа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подтверждается участием независимых экспертов, общественных организаций и потребителей в процессе оценки проектов тарифов, представленных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ТНК «Казхром» 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>и публичными слушаниями.</w:t>
      </w:r>
    </w:p>
    <w:p w:rsidR="00D32BAA" w:rsidRPr="00D32BAA" w:rsidRDefault="00D32BAA" w:rsidP="00D32BA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убличные слушания проходят в форме открытых собраний, а также предусматривается, что надлежащие уведомления о времени и месте таких публичных слушаний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публикуются 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средствах массовой информации и Интернет-сайте.</w:t>
      </w:r>
    </w:p>
    <w:p w:rsidR="0086290F" w:rsidRPr="00D97BDB" w:rsidRDefault="00D32BAA" w:rsidP="00D32BAA">
      <w:pPr>
        <w:pStyle w:val="a3"/>
        <w:spacing w:line="240" w:lineRule="auto"/>
        <w:ind w:left="0" w:firstLine="284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Аксукий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ферросплавов 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</w:t>
      </w:r>
      <w:proofErr w:type="gramStart"/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>отчитыва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>тся о</w:t>
      </w:r>
      <w:proofErr w:type="gramEnd"/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деятельности</w:t>
      </w:r>
      <w:r w:rsidR="00E03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естественных монополий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публичных слушаний перед потребителями и другими заинтересованными сторонами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290F" w:rsidRPr="00D97BD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</w:t>
      </w:r>
    </w:p>
    <w:p w:rsidR="0086290F" w:rsidRPr="00D32BAA" w:rsidRDefault="0086290F" w:rsidP="0086290F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E03B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27C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23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РК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запрещено признание коммерческой тайной информации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содержащейся в тарифной смете, 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>о затратах на приобретение и установку приборов учета регулируемых коммунальных услуг и о механизме взимания платы, и о предоставляемых регулируемых коммунальных услугах (товарах, работах).</w:t>
      </w:r>
    </w:p>
    <w:p w:rsidR="00D32BAA" w:rsidRPr="00D32BAA" w:rsidRDefault="0086290F" w:rsidP="00D32BA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также отметить, что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Аксукий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ферросплавов</w:t>
      </w:r>
      <w:r w:rsidR="004C1A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B7E">
        <w:rPr>
          <w:rFonts w:ascii="Times New Roman" w:hAnsi="Times New Roman" w:cs="Times New Roman"/>
          <w:color w:val="000000" w:themeColor="text1"/>
          <w:sz w:val="24"/>
          <w:szCs w:val="24"/>
        </w:rPr>
        <w:t>следуя</w:t>
      </w:r>
      <w:r w:rsidR="001A36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обязанност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информирует 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 об изменении тарифов (цен, ставок сборов) или их предельных уровней не позднее, чем за тридцать дней до введения в действие таких изменений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BAA" w:rsidRPr="00D32BAA" w:rsidRDefault="0086290F" w:rsidP="0086290F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АО «ТНК «Казхром», согласно</w:t>
      </w:r>
      <w:r w:rsidR="001A36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2BAA"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2BAA"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ует</w:t>
      </w:r>
      <w:r w:rsidR="00D32BAA"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 о результатах проверки и годовую финансовую отчетность в периодических печатных изданиях.</w:t>
      </w:r>
    </w:p>
    <w:p w:rsidR="00C67642" w:rsidRPr="00D97BDB" w:rsidRDefault="00C6764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642" w:rsidRPr="00D97BDB" w:rsidRDefault="00C6764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642" w:rsidRPr="0028347A" w:rsidRDefault="006A66B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="00CC3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CC3BFC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остатейное</w:t>
      </w:r>
      <w:proofErr w:type="gramEnd"/>
      <w:r w:rsidR="00CC3BFC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исполнении утвержденным ведомством уполномоченного органа та</w:t>
      </w:r>
      <w:r w:rsidR="006E7B7F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рифной сметы за отчетный период</w:t>
      </w:r>
    </w:p>
    <w:p w:rsidR="0084474F" w:rsidRPr="00586AC7" w:rsidRDefault="0084474F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04" w:rsidRPr="00586AC7" w:rsidRDefault="00CF6C0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04" w:rsidRPr="00586AC7" w:rsidRDefault="00CF6C0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C04" w:rsidRDefault="00CF6C0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6C04">
        <w:rPr>
          <w:noProof/>
          <w:lang w:eastAsia="ru-RU"/>
        </w:rPr>
        <w:lastRenderedPageBreak/>
        <w:drawing>
          <wp:inline distT="0" distB="0" distL="0" distR="0" wp14:anchorId="6F6D5E91" wp14:editId="51D1CD79">
            <wp:extent cx="6029863" cy="6952891"/>
            <wp:effectExtent l="0" t="0" r="952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361" cy="69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04" w:rsidRDefault="00C32245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6C04">
        <w:rPr>
          <w:noProof/>
          <w:lang w:eastAsia="ru-RU"/>
        </w:rPr>
        <w:lastRenderedPageBreak/>
        <w:drawing>
          <wp:inline distT="0" distB="0" distL="0" distR="0" wp14:anchorId="4224F05D" wp14:editId="1E260251">
            <wp:extent cx="5978106" cy="688388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202" cy="688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04" w:rsidRDefault="00C32245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32245">
        <w:rPr>
          <w:noProof/>
          <w:lang w:eastAsia="ru-RU"/>
        </w:rPr>
        <w:lastRenderedPageBreak/>
        <w:drawing>
          <wp:inline distT="0" distB="0" distL="0" distR="0" wp14:anchorId="7FCF98FB" wp14:editId="5A2CC6D9">
            <wp:extent cx="6133381" cy="7599872"/>
            <wp:effectExtent l="0" t="0" r="127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29" cy="760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45" w:rsidRDefault="00C32245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32245">
        <w:rPr>
          <w:noProof/>
          <w:lang w:eastAsia="ru-RU"/>
        </w:rPr>
        <w:lastRenderedPageBreak/>
        <w:drawing>
          <wp:inline distT="0" distB="0" distL="0" distR="0" wp14:anchorId="65ABEA97" wp14:editId="0F539A5F">
            <wp:extent cx="6064370" cy="72979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69" cy="731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5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544"/>
      </w:tblGrid>
      <w:tr w:rsidR="00CF6C04" w:rsidRPr="00CF6C04" w:rsidTr="00CF6C04">
        <w:trPr>
          <w:trHeight w:val="315"/>
        </w:trPr>
        <w:tc>
          <w:tcPr>
            <w:tcW w:w="1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04" w:rsidRPr="00CF6C04" w:rsidTr="00CF6C04">
        <w:trPr>
          <w:trHeight w:val="315"/>
        </w:trPr>
        <w:tc>
          <w:tcPr>
            <w:tcW w:w="1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04" w:rsidRPr="00CF6C04" w:rsidTr="00CF6C04">
        <w:trPr>
          <w:trHeight w:val="315"/>
        </w:trPr>
        <w:tc>
          <w:tcPr>
            <w:tcW w:w="1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6C04" w:rsidRDefault="00CF6C0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F6C04" w:rsidRDefault="00CF6C0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F6C04" w:rsidRDefault="00CF6C0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F6C04" w:rsidRDefault="00CF6C0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F6C04" w:rsidRDefault="00CF6C0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F6C04" w:rsidRDefault="00CF6C0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F6C04" w:rsidRDefault="00CF6C0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F6C04" w:rsidRDefault="00CF6C0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3000C" w:rsidRPr="00D97BDB" w:rsidRDefault="00E21204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Согласно приведенных выше отчетов об исполнении тарифных смет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027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всем видам услуг фактические затраты на производство выше утвержденных уполномоченным органом. </w:t>
      </w:r>
      <w:proofErr w:type="gramEnd"/>
      <w:r w:rsidR="000C027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фактических затрат</w:t>
      </w:r>
      <w:r w:rsidR="0033000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статьям в том числе</w:t>
      </w:r>
      <w:proofErr w:type="gramStart"/>
      <w:r w:rsidR="0033000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33000C" w:rsidRPr="00D97BDB" w:rsidRDefault="0033000C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материальные затраты - рост </w:t>
      </w:r>
      <w:r w:rsidR="000C027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цен на материалы (топливо, электроэнергию, и т.д.)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3000C" w:rsidRPr="00D97BDB" w:rsidRDefault="0033000C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 затраты на оплату труда - индексация ФЗП работников АЗФ,</w:t>
      </w:r>
    </w:p>
    <w:p w:rsidR="00E21204" w:rsidRPr="00D97BDB" w:rsidRDefault="0033000C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 амортизация</w:t>
      </w:r>
      <w:r w:rsidR="000C027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– ввод новых объектов, в том числе после капитальных ремонтов,</w:t>
      </w:r>
    </w:p>
    <w:p w:rsidR="0033000C" w:rsidRPr="00D97BDB" w:rsidRDefault="0033000C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 ремонты - увеличение цен на материалы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услуги подрядных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3000C" w:rsidRPr="00D97BDB" w:rsidRDefault="00980238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прочие расходы (медицинские услуги, затраты на охрану труда, страховые платежи, услуги охраны, коммунальные услуги и т.д.)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включенные в утвержденную тарифную смету. </w:t>
      </w:r>
    </w:p>
    <w:p w:rsidR="0033000C" w:rsidRPr="00D97BDB" w:rsidRDefault="0033000C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00C" w:rsidRPr="00D97BDB" w:rsidRDefault="007C36B5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3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CC3BFC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ерспективы 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деятельности (планы развития), в том числе возможных изменениях тарифов на регулируемые услуги (товары работы).</w:t>
      </w:r>
    </w:p>
    <w:p w:rsidR="00196F96" w:rsidRPr="00D97BDB" w:rsidRDefault="00196F96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93C" w:rsidRPr="00B144C3" w:rsidRDefault="007C36B5" w:rsidP="0029793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Специалистами 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Аксуского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завода ферросплавов филиала АО «ТНК» Казхром» проведена работа по подготовке пакета документов на утверждение тарифа и тарифной сметы </w:t>
      </w:r>
      <w:r w:rsidR="00196F9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услуги </w:t>
      </w:r>
      <w:r w:rsidR="00196F96" w:rsidRPr="00B14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производству тепловой энергии на среднесрочный период 2016-2020 год, </w:t>
      </w:r>
      <w:r w:rsidR="00001353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утверждение тарифа находится </w:t>
      </w:r>
      <w:r w:rsidR="00196F96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рассмотрении в </w:t>
      </w:r>
      <w:r w:rsidR="00CC3BFC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ДКРЕМЗК  </w:t>
      </w:r>
      <w:r w:rsidR="00196F96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>по Актюбинской области.</w:t>
      </w:r>
      <w:r w:rsidR="0029793C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2016-2020 год по данной услуге утверждена инвестиционная программа в сумме 541068,22 тысяч тенге.</w:t>
      </w:r>
    </w:p>
    <w:p w:rsidR="007C36B5" w:rsidRPr="00B03DF7" w:rsidRDefault="007C36B5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F96" w:rsidRDefault="00196F96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>Также подан</w:t>
      </w:r>
      <w:r w:rsidR="00001353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заявка на утверждение </w:t>
      </w:r>
      <w:r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тарифа на услуги </w:t>
      </w:r>
      <w:r w:rsidR="00CC3BFC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E5C88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подач</w:t>
      </w:r>
      <w:r w:rsidR="00CC3BFC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5C88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технической воды на 2016 г.</w:t>
      </w:r>
      <w:r w:rsidR="0029793C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данной услуге планируется инвестирование на 2016 год в сумме 50215,89 тысяч тенге в проведение капитального ремонта водоводов.</w:t>
      </w:r>
    </w:p>
    <w:p w:rsidR="003D24FD" w:rsidRDefault="003D24FD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4FD" w:rsidRDefault="003D24FD" w:rsidP="003D24F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услуге подачи пожарно-питьевой воды по распределительным сетям </w:t>
      </w:r>
      <w:proofErr w:type="spellStart"/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>Аксуского</w:t>
      </w:r>
      <w:proofErr w:type="spellEnd"/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завода ферросплавов, согласно Правил утверждения тарифа для субъектов малой  мощности, в марте </w:t>
      </w:r>
      <w:proofErr w:type="spellStart"/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>т.г</w:t>
      </w:r>
      <w:proofErr w:type="spellEnd"/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>. направлено уведомление в ДКРЕМЗК по Актюбинской области на увеличение тарифа по данной услуге на 2016 год на величину, не превышающую индекс потребительских цен по факту 2015 года, на 13,6%. Тариф с 1 мая 2016 года составит 52,15</w:t>
      </w:r>
      <w:proofErr w:type="gramEnd"/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за 1 м3.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</w:t>
      </w:r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>того, по данной услуге планируется инвестирование на 2016 год в сумме 5749,70 тыс. тенге в проведение капитального ремонта водоводов.</w:t>
      </w:r>
    </w:p>
    <w:p w:rsidR="003D24FD" w:rsidRPr="00D97BDB" w:rsidRDefault="003D24FD" w:rsidP="003D24F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4FD" w:rsidRPr="00B144C3" w:rsidRDefault="003D24FD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24FD" w:rsidRPr="00B144C3" w:rsidSect="00C3224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569"/>
    <w:multiLevelType w:val="hybridMultilevel"/>
    <w:tmpl w:val="E3DE80DA"/>
    <w:lvl w:ilvl="0" w:tplc="184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B1002C"/>
    <w:multiLevelType w:val="hybridMultilevel"/>
    <w:tmpl w:val="5C5227FC"/>
    <w:lvl w:ilvl="0" w:tplc="FE98CE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4D71BBF"/>
    <w:multiLevelType w:val="hybridMultilevel"/>
    <w:tmpl w:val="290618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53"/>
    <w:rsid w:val="00001353"/>
    <w:rsid w:val="0002119A"/>
    <w:rsid w:val="000419A3"/>
    <w:rsid w:val="000603E6"/>
    <w:rsid w:val="000C0271"/>
    <w:rsid w:val="000D6DFE"/>
    <w:rsid w:val="000F68AE"/>
    <w:rsid w:val="00135F56"/>
    <w:rsid w:val="00192871"/>
    <w:rsid w:val="00196F96"/>
    <w:rsid w:val="001A3653"/>
    <w:rsid w:val="00247100"/>
    <w:rsid w:val="002576C0"/>
    <w:rsid w:val="00265D3A"/>
    <w:rsid w:val="0028347A"/>
    <w:rsid w:val="00296797"/>
    <w:rsid w:val="0029793C"/>
    <w:rsid w:val="0033000C"/>
    <w:rsid w:val="00354286"/>
    <w:rsid w:val="00383D85"/>
    <w:rsid w:val="003931CA"/>
    <w:rsid w:val="003D010D"/>
    <w:rsid w:val="003D24FD"/>
    <w:rsid w:val="003E0E3B"/>
    <w:rsid w:val="0044336E"/>
    <w:rsid w:val="004476E0"/>
    <w:rsid w:val="00485D1A"/>
    <w:rsid w:val="004C1AC7"/>
    <w:rsid w:val="00530C7E"/>
    <w:rsid w:val="005369FB"/>
    <w:rsid w:val="00547BF0"/>
    <w:rsid w:val="00552001"/>
    <w:rsid w:val="00564246"/>
    <w:rsid w:val="00586AC7"/>
    <w:rsid w:val="00587A46"/>
    <w:rsid w:val="00592C54"/>
    <w:rsid w:val="005E124E"/>
    <w:rsid w:val="0068680E"/>
    <w:rsid w:val="006A66B4"/>
    <w:rsid w:val="006E7B7F"/>
    <w:rsid w:val="006F7073"/>
    <w:rsid w:val="0071585B"/>
    <w:rsid w:val="007B0348"/>
    <w:rsid w:val="007C16D0"/>
    <w:rsid w:val="007C36B5"/>
    <w:rsid w:val="007C4653"/>
    <w:rsid w:val="007E7644"/>
    <w:rsid w:val="007E78E9"/>
    <w:rsid w:val="007F7241"/>
    <w:rsid w:val="0081278E"/>
    <w:rsid w:val="008320B8"/>
    <w:rsid w:val="00833E41"/>
    <w:rsid w:val="00833EF3"/>
    <w:rsid w:val="0084474F"/>
    <w:rsid w:val="0086290F"/>
    <w:rsid w:val="008C26CB"/>
    <w:rsid w:val="009077EF"/>
    <w:rsid w:val="00931EE6"/>
    <w:rsid w:val="0093610E"/>
    <w:rsid w:val="00980238"/>
    <w:rsid w:val="00990A3D"/>
    <w:rsid w:val="009B6282"/>
    <w:rsid w:val="00A16B04"/>
    <w:rsid w:val="00A717BA"/>
    <w:rsid w:val="00AB61E2"/>
    <w:rsid w:val="00AE0FF3"/>
    <w:rsid w:val="00B03DF7"/>
    <w:rsid w:val="00B144C3"/>
    <w:rsid w:val="00B2327C"/>
    <w:rsid w:val="00B23B26"/>
    <w:rsid w:val="00B26BDC"/>
    <w:rsid w:val="00B54E63"/>
    <w:rsid w:val="00B55E10"/>
    <w:rsid w:val="00BB30B7"/>
    <w:rsid w:val="00BE4688"/>
    <w:rsid w:val="00C1234E"/>
    <w:rsid w:val="00C32245"/>
    <w:rsid w:val="00C60422"/>
    <w:rsid w:val="00C67642"/>
    <w:rsid w:val="00CA413F"/>
    <w:rsid w:val="00CC3BFC"/>
    <w:rsid w:val="00CF1F49"/>
    <w:rsid w:val="00CF6C04"/>
    <w:rsid w:val="00D32BAA"/>
    <w:rsid w:val="00D40C30"/>
    <w:rsid w:val="00D97BDB"/>
    <w:rsid w:val="00DA3920"/>
    <w:rsid w:val="00DB5715"/>
    <w:rsid w:val="00DC1984"/>
    <w:rsid w:val="00E03B7E"/>
    <w:rsid w:val="00E21204"/>
    <w:rsid w:val="00E47A23"/>
    <w:rsid w:val="00E7182D"/>
    <w:rsid w:val="00E730C9"/>
    <w:rsid w:val="00E76986"/>
    <w:rsid w:val="00EF53CE"/>
    <w:rsid w:val="00F00FDC"/>
    <w:rsid w:val="00F96245"/>
    <w:rsid w:val="00FA24B8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F3"/>
    <w:pPr>
      <w:ind w:left="720"/>
      <w:contextualSpacing/>
    </w:pPr>
  </w:style>
  <w:style w:type="table" w:styleId="a4">
    <w:name w:val="Table Grid"/>
    <w:basedOn w:val="a1"/>
    <w:uiPriority w:val="59"/>
    <w:rsid w:val="0093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B7F"/>
    <w:rPr>
      <w:rFonts w:ascii="Tahoma" w:hAnsi="Tahoma" w:cs="Tahoma"/>
      <w:sz w:val="16"/>
      <w:szCs w:val="16"/>
    </w:rPr>
  </w:style>
  <w:style w:type="character" w:customStyle="1" w:styleId="s1">
    <w:name w:val="s1"/>
    <w:rsid w:val="00FE5C88"/>
    <w:rPr>
      <w:rFonts w:ascii="Times New Roman" w:hAnsi="Times New Roman" w:cs="Times New Roman" w:hint="default"/>
      <w:b/>
      <w:bCs/>
      <w:color w:val="000000"/>
    </w:rPr>
  </w:style>
  <w:style w:type="character" w:styleId="a7">
    <w:name w:val="annotation reference"/>
    <w:basedOn w:val="a0"/>
    <w:uiPriority w:val="99"/>
    <w:semiHidden/>
    <w:unhideWhenUsed/>
    <w:rsid w:val="000F68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68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68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68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68A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C3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F3"/>
    <w:pPr>
      <w:ind w:left="720"/>
      <w:contextualSpacing/>
    </w:pPr>
  </w:style>
  <w:style w:type="table" w:styleId="a4">
    <w:name w:val="Table Grid"/>
    <w:basedOn w:val="a1"/>
    <w:uiPriority w:val="59"/>
    <w:rsid w:val="0093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B7F"/>
    <w:rPr>
      <w:rFonts w:ascii="Tahoma" w:hAnsi="Tahoma" w:cs="Tahoma"/>
      <w:sz w:val="16"/>
      <w:szCs w:val="16"/>
    </w:rPr>
  </w:style>
  <w:style w:type="character" w:customStyle="1" w:styleId="s1">
    <w:name w:val="s1"/>
    <w:rsid w:val="00FE5C88"/>
    <w:rPr>
      <w:rFonts w:ascii="Times New Roman" w:hAnsi="Times New Roman" w:cs="Times New Roman" w:hint="default"/>
      <w:b/>
      <w:bCs/>
      <w:color w:val="000000"/>
    </w:rPr>
  </w:style>
  <w:style w:type="character" w:styleId="a7">
    <w:name w:val="annotation reference"/>
    <w:basedOn w:val="a0"/>
    <w:uiPriority w:val="99"/>
    <w:semiHidden/>
    <w:unhideWhenUsed/>
    <w:rsid w:val="000F68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68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68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68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68A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C3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Sheludyakova</dc:creator>
  <cp:lastModifiedBy>Ardak Kuzhahmetova</cp:lastModifiedBy>
  <cp:revision>5</cp:revision>
  <dcterms:created xsi:type="dcterms:W3CDTF">2016-04-12T03:43:00Z</dcterms:created>
  <dcterms:modified xsi:type="dcterms:W3CDTF">2016-04-14T02:57:00Z</dcterms:modified>
</cp:coreProperties>
</file>